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3557" w14:textId="77777777" w:rsidR="00E20F2C" w:rsidRPr="00E20F2C" w:rsidRDefault="00E20F2C" w:rsidP="00E20F2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b/>
          <w:bCs/>
          <w:color w:val="0C0C0F"/>
          <w:kern w:val="0"/>
          <w:lang w:eastAsia="it-IT"/>
          <w14:ligatures w14:val="none"/>
        </w:rPr>
        <w:t>Piattaforma unica per tutte le operazioni</w:t>
      </w:r>
    </w:p>
    <w:p w14:paraId="581E21E5" w14:textId="77777777" w:rsidR="00E20F2C" w:rsidRPr="00E20F2C" w:rsidRDefault="00E20F2C" w:rsidP="00E20F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Mediante la piattaforma digitale, istituita presso il Centro Elaborazione Dati della Direzione Generale per la Motorizzazione, passano le operazioni relative ai monopattini a propulsione elettrica:</w:t>
      </w:r>
    </w:p>
    <w:p w14:paraId="17073F7C" w14:textId="77777777" w:rsidR="00E20F2C" w:rsidRPr="00E20F2C" w:rsidRDefault="00E20F2C" w:rsidP="00E20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richiesta del contrassegno</w:t>
      </w:r>
    </w:p>
    <w:p w14:paraId="0C1B441A" w14:textId="77777777" w:rsidR="00E20F2C" w:rsidRPr="00E20F2C" w:rsidRDefault="00E20F2C" w:rsidP="00E20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prenotazione del ritiro</w:t>
      </w:r>
    </w:p>
    <w:p w14:paraId="0D105AF0" w14:textId="77777777" w:rsidR="00E20F2C" w:rsidRPr="00E20F2C" w:rsidRDefault="00E20F2C" w:rsidP="00E20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comunicazione di furto, smarrimento o deterioramento</w:t>
      </w:r>
    </w:p>
    <w:p w14:paraId="477D5339" w14:textId="77777777" w:rsidR="00E20F2C" w:rsidRPr="00E20F2C" w:rsidRDefault="00E20F2C" w:rsidP="00E20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cancellazione del contrassegno</w:t>
      </w:r>
    </w:p>
    <w:p w14:paraId="2DEE87BA" w14:textId="77777777" w:rsidR="00E20F2C" w:rsidRPr="00E20F2C" w:rsidRDefault="00E20F2C" w:rsidP="00E20F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associazione tra codice fiscale e codice alfanumerico del contrassegno</w:t>
      </w:r>
    </w:p>
    <w:p w14:paraId="32D9B221" w14:textId="28C150CA" w:rsidR="00E20F2C" w:rsidRPr="00E20F2C" w:rsidRDefault="00E20F2C" w:rsidP="00E20F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L’accesso avviene attraverso lo </w:t>
      </w:r>
      <w:hyperlink r:id="rId5" w:history="1">
        <w:r w:rsidRPr="00E20F2C">
          <w:rPr>
            <w:rFonts w:ascii="Arial" w:eastAsia="Times New Roman" w:hAnsi="Arial" w:cs="Arial"/>
            <w:b/>
            <w:bCs/>
            <w:color w:val="1E5192"/>
            <w:kern w:val="0"/>
            <w:u w:val="single"/>
            <w:lang w:eastAsia="it-IT"/>
            <w14:ligatures w14:val="none"/>
          </w:rPr>
          <w:t>SPID</w:t>
        </w:r>
      </w:hyperlink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 di secondo livello o la </w:t>
      </w:r>
      <w:hyperlink r:id="rId6" w:history="1">
        <w:r w:rsidRPr="00E20F2C">
          <w:rPr>
            <w:rFonts w:ascii="Arial" w:eastAsia="Times New Roman" w:hAnsi="Arial" w:cs="Arial"/>
            <w:b/>
            <w:bCs/>
            <w:color w:val="1E5192"/>
            <w:kern w:val="0"/>
            <w:u w:val="single"/>
            <w:lang w:eastAsia="it-IT"/>
            <w14:ligatures w14:val="none"/>
          </w:rPr>
          <w:t>Carta d’Identità Elettronica</w:t>
        </w:r>
      </w:hyperlink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 xml:space="preserve">, sia per cittadini sia per imprese. Gli studi di consulenza automobilistica utilizzano invece una VPN dedicata, con funzionalità riservate. </w:t>
      </w:r>
      <w:r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L</w:t>
      </w: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a piattaforma è l’unico canale valido, per cui non sono ammesse procedure alternative.</w:t>
      </w:r>
    </w:p>
    <w:p w14:paraId="6493615F" w14:textId="77777777" w:rsidR="00E20F2C" w:rsidRPr="00E20F2C" w:rsidRDefault="00E20F2C" w:rsidP="00E20F2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b/>
          <w:bCs/>
          <w:color w:val="0C0C0F"/>
          <w:kern w:val="0"/>
          <w:lang w:eastAsia="it-IT"/>
          <w14:ligatures w14:val="none"/>
        </w:rPr>
        <w:t>Modalità per richiedere il contrassegno</w:t>
      </w:r>
    </w:p>
    <w:p w14:paraId="050B5AFF" w14:textId="77777777" w:rsidR="00E20F2C" w:rsidRPr="00E20F2C" w:rsidRDefault="00E20F2C" w:rsidP="00E20F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Tutti i passaggi dell’iter avvengono in ambito digitalizzato, pertanto il cittadino:</w:t>
      </w:r>
    </w:p>
    <w:p w14:paraId="1FAEA82E" w14:textId="77777777" w:rsidR="00E20F2C" w:rsidRPr="00E20F2C" w:rsidRDefault="00E20F2C" w:rsidP="00E20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accede con SPID/CIE</w:t>
      </w:r>
    </w:p>
    <w:p w14:paraId="0A76A164" w14:textId="77777777" w:rsidR="00E20F2C" w:rsidRPr="00E20F2C" w:rsidRDefault="00E20F2C" w:rsidP="00E20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inserisce i propri dati anagrafici (nome, cognome, residenza)</w:t>
      </w:r>
    </w:p>
    <w:p w14:paraId="041A210B" w14:textId="77777777" w:rsidR="00E20F2C" w:rsidRPr="00E20F2C" w:rsidRDefault="00E20F2C" w:rsidP="00E20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seleziona l’ufficio di motorizzazione o lo studio di consulenza per il ritiro</w:t>
      </w:r>
    </w:p>
    <w:p w14:paraId="797260CF" w14:textId="77777777" w:rsidR="00E20F2C" w:rsidRPr="00E20F2C" w:rsidRDefault="00E20F2C" w:rsidP="00E20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effettua il pagamento tramite PagoPA</w:t>
      </w:r>
    </w:p>
    <w:p w14:paraId="33F8DFC8" w14:textId="77777777" w:rsidR="00E20F2C" w:rsidRPr="00E20F2C" w:rsidRDefault="00E20F2C" w:rsidP="00E20F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ritira il contrassegno nel luogo scelto</w:t>
      </w:r>
    </w:p>
    <w:p w14:paraId="6DADDBC9" w14:textId="359AB2C4" w:rsidR="00E20F2C" w:rsidRPr="00E20F2C" w:rsidRDefault="00E20F2C" w:rsidP="00E20F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 xml:space="preserve">Per i minori dai 14 anni, l’istanza deve essere presentata da chi esercita la responsabilità </w:t>
      </w:r>
      <w:r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g</w:t>
      </w: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enitoriale, tramite dichiarazione sostitutiva resa direttamente in piattaforma. Le imprese seguono una procedura analoga, con integrazione automatica dei dati tramite InfoCamere.</w:t>
      </w:r>
    </w:p>
    <w:p w14:paraId="41D5AFF2" w14:textId="77777777" w:rsidR="00E20F2C" w:rsidRPr="00E20F2C" w:rsidRDefault="00E20F2C" w:rsidP="00E20F2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b/>
          <w:bCs/>
          <w:color w:val="0C0C0F"/>
          <w:kern w:val="0"/>
          <w:lang w:eastAsia="it-IT"/>
          <w14:ligatures w14:val="none"/>
        </w:rPr>
        <w:t>Assicurazione e controlli, l’interoperabilità con ANIA</w:t>
      </w:r>
    </w:p>
    <w:p w14:paraId="3DCBAF8E" w14:textId="77777777" w:rsidR="00E20F2C" w:rsidRPr="00E20F2C" w:rsidRDefault="00E20F2C" w:rsidP="00E20F2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Il decreto prevede l’integrazione tra la piattaforma e i sistemi dell’Associazione delle imprese assicuratrici. L’interoperabilità consente di:</w:t>
      </w:r>
    </w:p>
    <w:p w14:paraId="4A1AAFDB" w14:textId="77777777" w:rsidR="00E20F2C" w:rsidRPr="00E20F2C" w:rsidRDefault="00E20F2C" w:rsidP="00E20F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verificare che il contrassegno sia correttamente associato al proprietario,</w:t>
      </w:r>
    </w:p>
    <w:p w14:paraId="7CD93328" w14:textId="77777777" w:rsidR="00E20F2C" w:rsidRPr="00E20F2C" w:rsidRDefault="00E20F2C" w:rsidP="00E20F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comunicare i dati della copertura assicurativa,</w:t>
      </w:r>
    </w:p>
    <w:p w14:paraId="338C7420" w14:textId="77777777" w:rsidR="00E20F2C" w:rsidRPr="00E20F2C" w:rsidRDefault="00E20F2C" w:rsidP="00E20F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</w:pPr>
      <w:r w:rsidRPr="00E20F2C">
        <w:rPr>
          <w:rFonts w:ascii="Arial" w:eastAsia="Times New Roman" w:hAnsi="Arial" w:cs="Arial"/>
          <w:color w:val="0C0C0F"/>
          <w:kern w:val="0"/>
          <w:lang w:eastAsia="it-IT"/>
          <w14:ligatures w14:val="none"/>
        </w:rPr>
        <w:t>consentire alle forze di polizia di controllare in tempo reale la regolarità del mezzo.</w:t>
      </w:r>
    </w:p>
    <w:p w14:paraId="27AE6A04" w14:textId="77777777" w:rsidR="00E20F2C" w:rsidRPr="00E20F2C" w:rsidRDefault="00E20F2C" w:rsidP="00E20F2C">
      <w:pPr>
        <w:rPr>
          <w:rFonts w:ascii="Arial" w:hAnsi="Arial" w:cs="Arial"/>
          <w:b/>
          <w:bCs/>
        </w:rPr>
      </w:pPr>
      <w:r w:rsidRPr="00E20F2C">
        <w:rPr>
          <w:rFonts w:ascii="Arial" w:hAnsi="Arial" w:cs="Arial"/>
          <w:b/>
          <w:bCs/>
        </w:rPr>
        <w:t>Importi e sanzioni</w:t>
      </w:r>
    </w:p>
    <w:p w14:paraId="6925D49F" w14:textId="77777777" w:rsidR="00E20F2C" w:rsidRPr="00E20F2C" w:rsidRDefault="00E20F2C" w:rsidP="00E20F2C">
      <w:pPr>
        <w:jc w:val="both"/>
        <w:rPr>
          <w:rFonts w:ascii="Arial" w:hAnsi="Arial" w:cs="Arial"/>
        </w:rPr>
      </w:pPr>
      <w:r w:rsidRPr="00E20F2C">
        <w:rPr>
          <w:rFonts w:ascii="Arial" w:hAnsi="Arial" w:cs="Arial"/>
        </w:rPr>
        <w:t xml:space="preserve">Il costo della targa, che è riscosso attraverso il sistema </w:t>
      </w:r>
      <w:proofErr w:type="spellStart"/>
      <w:r w:rsidRPr="00E20F2C">
        <w:rPr>
          <w:rFonts w:ascii="Arial" w:hAnsi="Arial" w:cs="Arial"/>
        </w:rPr>
        <w:t>PagoPa</w:t>
      </w:r>
      <w:proofErr w:type="spellEnd"/>
      <w:r w:rsidRPr="00E20F2C">
        <w:rPr>
          <w:rFonts w:ascii="Arial" w:hAnsi="Arial" w:cs="Arial"/>
        </w:rPr>
        <w:t xml:space="preserve">, è di 8,66 euro, di cui 5,03 euro per il costo di produzione, 1,11 euro per l’Iva, 2,52 euro imputata a quota di maggiorazione destinata alle attività finanziate dall’art. 208, comma 2, Codice della strada, cioè formazione, segnaletica, </w:t>
      </w:r>
      <w:proofErr w:type="spellStart"/>
      <w:r w:rsidRPr="00E20F2C">
        <w:rPr>
          <w:rFonts w:ascii="Arial" w:hAnsi="Arial" w:cs="Arial"/>
        </w:rPr>
        <w:t>safety</w:t>
      </w:r>
      <w:proofErr w:type="spellEnd"/>
      <w:r w:rsidRPr="00E20F2C">
        <w:rPr>
          <w:rFonts w:ascii="Arial" w:hAnsi="Arial" w:cs="Arial"/>
        </w:rPr>
        <w:t xml:space="preserve"> road.</w:t>
      </w:r>
    </w:p>
    <w:p w14:paraId="6B5AC84D" w14:textId="77777777" w:rsidR="00E20F2C" w:rsidRPr="00E20F2C" w:rsidRDefault="00E20F2C" w:rsidP="00E20F2C">
      <w:pPr>
        <w:rPr>
          <w:rFonts w:ascii="Arial" w:hAnsi="Arial" w:cs="Arial"/>
        </w:rPr>
      </w:pPr>
    </w:p>
    <w:p w14:paraId="22847D40" w14:textId="14C32B6F" w:rsidR="003974AD" w:rsidRPr="00E20F2C" w:rsidRDefault="00E20F2C" w:rsidP="00E20F2C">
      <w:pPr>
        <w:rPr>
          <w:rFonts w:ascii="Arial" w:hAnsi="Arial" w:cs="Arial"/>
        </w:rPr>
      </w:pPr>
      <w:r w:rsidRPr="00E20F2C">
        <w:rPr>
          <w:rFonts w:ascii="Arial" w:hAnsi="Arial" w:cs="Arial"/>
        </w:rPr>
        <w:t>La circolazione in assenza di contrassegno identificativo è punita con una sanzione pecuniaria tra i 100 e i 400 euro, che può essere corrisposta in misura ridotta entro 5 giorni.</w:t>
      </w:r>
    </w:p>
    <w:sectPr w:rsidR="003974AD" w:rsidRPr="00E20F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43E4"/>
    <w:multiLevelType w:val="multilevel"/>
    <w:tmpl w:val="9F9C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41741E"/>
    <w:multiLevelType w:val="multilevel"/>
    <w:tmpl w:val="D858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5027CD"/>
    <w:multiLevelType w:val="multilevel"/>
    <w:tmpl w:val="2166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1625059">
    <w:abstractNumId w:val="1"/>
  </w:num>
  <w:num w:numId="2" w16cid:durableId="1113130895">
    <w:abstractNumId w:val="2"/>
  </w:num>
  <w:num w:numId="3" w16cid:durableId="212194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5A"/>
    <w:rsid w:val="003974AD"/>
    <w:rsid w:val="00B1694F"/>
    <w:rsid w:val="00BB2CE1"/>
    <w:rsid w:val="00C5705A"/>
    <w:rsid w:val="00E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169D"/>
  <w15:chartTrackingRefBased/>
  <w15:docId w15:val="{1941E2F6-5E7F-4C62-98A4-1017F96B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0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0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0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0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0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0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0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0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70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0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alex.com/guide/carta-identita-elettronica-cie" TargetMode="External"/><Relationship Id="rId5" Type="http://schemas.openxmlformats.org/officeDocument/2006/relationships/hyperlink" Target="https://www.altalex.com/documents/news/2016/06/23/spid-un-nuovo-sistema-di-gestione-identita-digit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Municipale 1</dc:creator>
  <cp:keywords/>
  <dc:description/>
  <cp:lastModifiedBy>Polizia Municipale 1</cp:lastModifiedBy>
  <cp:revision>2</cp:revision>
  <dcterms:created xsi:type="dcterms:W3CDTF">2026-04-30T09:30:00Z</dcterms:created>
  <dcterms:modified xsi:type="dcterms:W3CDTF">2026-04-30T09:39:00Z</dcterms:modified>
</cp:coreProperties>
</file>